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8CC" w:rsidRPr="00275ED1" w:rsidRDefault="00D54671" w:rsidP="00370DAE">
      <w:pPr>
        <w:pStyle w:val="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73436" cy="8610600"/>
            <wp:effectExtent l="19050" t="0" r="0" b="0"/>
            <wp:docPr id="1" name="Рисунок 1" descr="C:\Users\Admin\Desktop\приказ об утв антикор полити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 об утв антикор политик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00" cy="861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8CC" w:rsidRPr="00275ED1" w:rsidRDefault="00D708CC" w:rsidP="00370DAE">
      <w:pPr>
        <w:pStyle w:val="1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708CC" w:rsidRPr="00275ED1" w:rsidRDefault="00D708CC" w:rsidP="00370DAE">
      <w:pPr>
        <w:pStyle w:val="1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4419" w:rsidRDefault="00994419" w:rsidP="00994419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</w:p>
    <w:p w:rsidR="00994419" w:rsidRDefault="00994419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0592" cy="8743950"/>
            <wp:effectExtent l="19050" t="0" r="0" b="0"/>
            <wp:docPr id="2" name="Рисунок 1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643" cy="874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19" w:rsidRDefault="00994419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lastRenderedPageBreak/>
        <w:t xml:space="preserve">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 декабря 2008 г. </w:t>
      </w:r>
      <w:proofErr w:type="gramStart"/>
      <w:r w:rsidRPr="00275ED1">
        <w:rPr>
          <w:rFonts w:ascii="Times New Roman" w:hAnsi="Times New Roman" w:cs="Times New Roman"/>
          <w:sz w:val="24"/>
          <w:szCs w:val="24"/>
        </w:rPr>
        <w:t>№ 273-ФЗ «О противодействии коррупции»): а) по предупреждению коррупции, в том числе по выявлению и последующему устранению причин коррупции (профилактика коррупции); б) по выявлению, предупреждению, пресечению, раскрытию и расследованию коррупционных правонарушений (борьба с коррупцией);</w:t>
      </w:r>
      <w:proofErr w:type="gramEnd"/>
      <w:r w:rsidRPr="00275ED1">
        <w:rPr>
          <w:rFonts w:ascii="Times New Roman" w:hAnsi="Times New Roman" w:cs="Times New Roman"/>
          <w:sz w:val="24"/>
          <w:szCs w:val="24"/>
        </w:rPr>
        <w:t xml:space="preserve"> в) по минимизации и (или) ликвидации последствий коррупционных правонарушений.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3. </w:t>
      </w:r>
      <w:r w:rsidRPr="00275ED1">
        <w:rPr>
          <w:rFonts w:ascii="Times New Roman" w:hAnsi="Times New Roman" w:cs="Times New Roman"/>
          <w:b/>
          <w:sz w:val="24"/>
          <w:szCs w:val="24"/>
        </w:rPr>
        <w:t>Предупреждение коррупции</w:t>
      </w:r>
      <w:r w:rsidRPr="00275ED1">
        <w:rPr>
          <w:rFonts w:ascii="Times New Roman" w:hAnsi="Times New Roman" w:cs="Times New Roman"/>
          <w:sz w:val="24"/>
          <w:szCs w:val="24"/>
        </w:rPr>
        <w:t xml:space="preserve"> – деятельность Учреждения, направленная на введение элементов корпоративной культуры, организационной структуры, правил и процедур, регламентированных внутренними нормативными документами, обеспечивающих недопущение коррупционных правонарушений.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4. </w:t>
      </w:r>
      <w:r w:rsidRPr="00275ED1">
        <w:rPr>
          <w:rFonts w:ascii="Times New Roman" w:hAnsi="Times New Roman" w:cs="Times New Roman"/>
          <w:b/>
          <w:sz w:val="24"/>
          <w:szCs w:val="24"/>
        </w:rPr>
        <w:t>Контрагент</w:t>
      </w:r>
      <w:r w:rsidRPr="00275ED1">
        <w:rPr>
          <w:rFonts w:ascii="Times New Roman" w:hAnsi="Times New Roman" w:cs="Times New Roman"/>
          <w:sz w:val="24"/>
          <w:szCs w:val="24"/>
        </w:rPr>
        <w:t xml:space="preserve"> – любое российское или иностранное юридическое, или физическое лицо, с которым Учреждение вступает в договорные отношения, за исключением трудовых отношений.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5. </w:t>
      </w:r>
      <w:r w:rsidRPr="00275ED1">
        <w:rPr>
          <w:rFonts w:ascii="Times New Roman" w:hAnsi="Times New Roman" w:cs="Times New Roman"/>
          <w:b/>
          <w:sz w:val="24"/>
          <w:szCs w:val="24"/>
        </w:rPr>
        <w:t>Взятка</w:t>
      </w:r>
      <w:r w:rsidRPr="00275ED1">
        <w:rPr>
          <w:rFonts w:ascii="Times New Roman" w:hAnsi="Times New Roman" w:cs="Times New Roman"/>
          <w:sz w:val="24"/>
          <w:szCs w:val="24"/>
        </w:rPr>
        <w:t xml:space="preserve">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службе.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6. </w:t>
      </w:r>
      <w:r w:rsidRPr="00275ED1">
        <w:rPr>
          <w:rFonts w:ascii="Times New Roman" w:hAnsi="Times New Roman" w:cs="Times New Roman"/>
          <w:b/>
          <w:sz w:val="24"/>
          <w:szCs w:val="24"/>
        </w:rPr>
        <w:t>Коммерческий подкуп</w:t>
      </w:r>
      <w:r w:rsidRPr="00275ED1">
        <w:rPr>
          <w:rFonts w:ascii="Times New Roman" w:hAnsi="Times New Roman" w:cs="Times New Roman"/>
          <w:sz w:val="24"/>
          <w:szCs w:val="24"/>
        </w:rPr>
        <w:t xml:space="preserve">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7. </w:t>
      </w:r>
      <w:r w:rsidRPr="00275ED1">
        <w:rPr>
          <w:rFonts w:ascii="Times New Roman" w:hAnsi="Times New Roman" w:cs="Times New Roman"/>
          <w:b/>
          <w:sz w:val="24"/>
          <w:szCs w:val="24"/>
        </w:rPr>
        <w:t>Конфликт интересов</w:t>
      </w:r>
      <w:r w:rsidRPr="00275ED1">
        <w:rPr>
          <w:rFonts w:ascii="Times New Roman" w:hAnsi="Times New Roman" w:cs="Times New Roman"/>
          <w:sz w:val="24"/>
          <w:szCs w:val="24"/>
        </w:rPr>
        <w:t xml:space="preserve"> –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8. </w:t>
      </w:r>
      <w:r w:rsidRPr="00275ED1">
        <w:rPr>
          <w:rFonts w:ascii="Times New Roman" w:hAnsi="Times New Roman" w:cs="Times New Roman"/>
          <w:b/>
          <w:sz w:val="24"/>
          <w:szCs w:val="24"/>
        </w:rPr>
        <w:t>Личная заинтересованность</w:t>
      </w:r>
      <w:r w:rsidRPr="00275ED1">
        <w:rPr>
          <w:rFonts w:ascii="Times New Roman" w:hAnsi="Times New Roman" w:cs="Times New Roman"/>
          <w:sz w:val="24"/>
          <w:szCs w:val="24"/>
        </w:rPr>
        <w:t xml:space="preserve"> –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указанным в пункте 7 раздела III настоящего положения,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лицо, указанное в пункте 7 раздела III настоящего положения и (или) лица, состоящие с ним в близком родстве или свойстве, связаны имущественными, корпоративными или иными близкими отношениями.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ED1">
        <w:rPr>
          <w:rFonts w:ascii="Times New Roman" w:hAnsi="Times New Roman" w:cs="Times New Roman"/>
          <w:b/>
          <w:sz w:val="24"/>
          <w:szCs w:val="24"/>
        </w:rPr>
        <w:t>IV. Нормативное правовое обеспечение</w:t>
      </w:r>
    </w:p>
    <w:p w:rsidR="00173CE3" w:rsidRPr="00275ED1" w:rsidRDefault="001C42AC" w:rsidP="00173CE3">
      <w:pPr>
        <w:pStyle w:val="ab"/>
        <w:numPr>
          <w:ilvl w:val="0"/>
          <w:numId w:val="15"/>
        </w:numPr>
        <w:rPr>
          <w:i/>
          <w:sz w:val="24"/>
          <w:szCs w:val="24"/>
          <w:u w:val="single"/>
          <w:lang w:val="ru-RU"/>
        </w:rPr>
      </w:pPr>
      <w:r w:rsidRPr="00275ED1">
        <w:rPr>
          <w:i/>
          <w:sz w:val="24"/>
          <w:szCs w:val="24"/>
          <w:u w:val="single"/>
          <w:lang w:val="ru-RU"/>
        </w:rPr>
        <w:t>Обязанность Учреждения принимать меры по предупреждению коррупции</w:t>
      </w:r>
      <w:r w:rsidR="00173CE3" w:rsidRPr="00275ED1">
        <w:rPr>
          <w:i/>
          <w:sz w:val="24"/>
          <w:szCs w:val="24"/>
          <w:u w:val="single"/>
          <w:lang w:val="ru-RU"/>
        </w:rPr>
        <w:t>.</w:t>
      </w:r>
    </w:p>
    <w:p w:rsidR="001C42AC" w:rsidRPr="00275ED1" w:rsidRDefault="001C42AC" w:rsidP="00173CE3">
      <w:pPr>
        <w:pStyle w:val="ab"/>
        <w:ind w:left="525"/>
        <w:rPr>
          <w:sz w:val="24"/>
          <w:szCs w:val="24"/>
          <w:lang w:val="ru-RU"/>
        </w:rPr>
      </w:pPr>
      <w:r w:rsidRPr="00275ED1">
        <w:rPr>
          <w:sz w:val="24"/>
          <w:szCs w:val="24"/>
          <w:lang w:val="ru-RU"/>
        </w:rPr>
        <w:t xml:space="preserve"> Основополагающим нормативным правовым актом в сфере борьбы с коррупцией является Федеральный закон от 25 декабря 2008 г. № 273-ФЗ «О противодействии коррупции» (далее – Федеральный закон «О противодействии коррупции»). Частью 1 статьи 13.3 Федерального закона «О противодействии коррупции» установлена обязанность организаций разрабатывать и принимать меры по предупреждению коррупции. Меры, рекомендуемые к применению в организациях, содержатся в части 2 указанной статьи. </w:t>
      </w:r>
    </w:p>
    <w:p w:rsidR="00173CE3" w:rsidRPr="00275ED1" w:rsidRDefault="001C42AC" w:rsidP="00173CE3">
      <w:pPr>
        <w:pStyle w:val="ab"/>
        <w:numPr>
          <w:ilvl w:val="0"/>
          <w:numId w:val="15"/>
        </w:numPr>
        <w:rPr>
          <w:i/>
          <w:sz w:val="24"/>
          <w:szCs w:val="24"/>
          <w:u w:val="single"/>
        </w:rPr>
      </w:pPr>
      <w:proofErr w:type="spellStart"/>
      <w:r w:rsidRPr="00275ED1">
        <w:rPr>
          <w:i/>
          <w:sz w:val="24"/>
          <w:szCs w:val="24"/>
          <w:u w:val="single"/>
        </w:rPr>
        <w:t>Ответственность</w:t>
      </w:r>
      <w:proofErr w:type="spellEnd"/>
      <w:r w:rsidRPr="00275ED1">
        <w:rPr>
          <w:i/>
          <w:sz w:val="24"/>
          <w:szCs w:val="24"/>
          <w:u w:val="single"/>
        </w:rPr>
        <w:t xml:space="preserve"> </w:t>
      </w:r>
      <w:proofErr w:type="spellStart"/>
      <w:r w:rsidRPr="00275ED1">
        <w:rPr>
          <w:i/>
          <w:sz w:val="24"/>
          <w:szCs w:val="24"/>
          <w:u w:val="single"/>
        </w:rPr>
        <w:t>юридических</w:t>
      </w:r>
      <w:proofErr w:type="spellEnd"/>
      <w:r w:rsidRPr="00275ED1">
        <w:rPr>
          <w:i/>
          <w:sz w:val="24"/>
          <w:szCs w:val="24"/>
          <w:u w:val="single"/>
        </w:rPr>
        <w:t xml:space="preserve"> </w:t>
      </w:r>
      <w:proofErr w:type="spellStart"/>
      <w:r w:rsidRPr="00275ED1">
        <w:rPr>
          <w:i/>
          <w:sz w:val="24"/>
          <w:szCs w:val="24"/>
          <w:u w:val="single"/>
        </w:rPr>
        <w:t>лиц</w:t>
      </w:r>
      <w:proofErr w:type="spellEnd"/>
      <w:r w:rsidR="00173CE3" w:rsidRPr="00275ED1">
        <w:rPr>
          <w:i/>
          <w:sz w:val="24"/>
          <w:szCs w:val="24"/>
          <w:u w:val="single"/>
        </w:rPr>
        <w:t>.</w:t>
      </w:r>
    </w:p>
    <w:p w:rsidR="001C42AC" w:rsidRPr="00275ED1" w:rsidRDefault="001C42AC" w:rsidP="00173CE3">
      <w:pPr>
        <w:pStyle w:val="ab"/>
        <w:ind w:left="525"/>
        <w:rPr>
          <w:sz w:val="24"/>
          <w:szCs w:val="24"/>
          <w:lang w:val="ru-RU"/>
        </w:rPr>
      </w:pPr>
      <w:r w:rsidRPr="00275ED1">
        <w:rPr>
          <w:sz w:val="24"/>
          <w:szCs w:val="24"/>
          <w:lang w:val="ru-RU"/>
        </w:rPr>
        <w:lastRenderedPageBreak/>
        <w:t xml:space="preserve"> Общие нормы, устанавливающие ответственность юридических лиц за коррупционные правонарушения, закреплены в статье 14 Федерального закона «О противодействии коррупции». </w:t>
      </w:r>
      <w:r w:rsidR="00173CE3" w:rsidRPr="00275ED1">
        <w:rPr>
          <w:sz w:val="24"/>
          <w:szCs w:val="24"/>
          <w:lang w:val="ru-RU"/>
        </w:rPr>
        <w:t>В соответствие с данной статьей,</w:t>
      </w:r>
      <w:r w:rsidRPr="00275ED1">
        <w:rPr>
          <w:sz w:val="24"/>
          <w:szCs w:val="24"/>
          <w:lang w:val="ru-RU"/>
        </w:rPr>
        <w:t xml:space="preserve">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создающие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 При этом</w:t>
      </w:r>
      <w:r w:rsidR="00173CE3" w:rsidRPr="00275ED1">
        <w:rPr>
          <w:sz w:val="24"/>
          <w:szCs w:val="24"/>
          <w:lang w:val="ru-RU"/>
        </w:rPr>
        <w:t>,</w:t>
      </w:r>
      <w:r w:rsidRPr="00275ED1">
        <w:rPr>
          <w:sz w:val="24"/>
          <w:szCs w:val="24"/>
          <w:lang w:val="ru-RU"/>
        </w:rPr>
        <w:t xml:space="preserve"> применение мер ответственности за коррупционное правонарушение к юридическому лицу не освобождает от ответственности за данное коррупционное правонарушение виновное физическое лицо.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 В случаях, предусмотренных законодательством Российской Федерации, данные нормы распространяются на иностранные юридические лица. Статья 19.28 Кодекса Российской Федерации об административных правонарушениях (далее – КоАП РФ) устанавливает меры ответственности за незаконное вознаграждение от имени юридического лица (незаконные передача, предложение или обещание от имени или в интересах юридического лица должностному лицу, лицу, выполняющему управленческие функции в коммерческой или иной организации, иностранному должностному лицу либо должностному лицу публичной международной организации денег, ценных бумаг, иного имущества, оказание ему услуг имущественного характера, предоставление имущественных прав за совершение в интересах данного юридического лица должностным лицом, лицом, выполняющим управленческие функции в коммерческой или иной организации, иностранным должностным лицом либо должностным лицом публичной международной организации действия (бездействие), связанного с занимаемым ими служебным положением, влечет наложение на юридическое лицо административного штрафа). </w:t>
      </w:r>
    </w:p>
    <w:p w:rsidR="00173CE3" w:rsidRPr="00275ED1" w:rsidRDefault="001C42AC" w:rsidP="00173CE3">
      <w:pPr>
        <w:pStyle w:val="ab"/>
        <w:numPr>
          <w:ilvl w:val="0"/>
          <w:numId w:val="15"/>
        </w:numPr>
        <w:rPr>
          <w:i/>
          <w:sz w:val="24"/>
          <w:szCs w:val="24"/>
          <w:u w:val="single"/>
        </w:rPr>
      </w:pPr>
      <w:proofErr w:type="spellStart"/>
      <w:r w:rsidRPr="00275ED1">
        <w:rPr>
          <w:i/>
          <w:sz w:val="24"/>
          <w:szCs w:val="24"/>
          <w:u w:val="single"/>
        </w:rPr>
        <w:t>Ответственность</w:t>
      </w:r>
      <w:proofErr w:type="spellEnd"/>
      <w:r w:rsidRPr="00275ED1">
        <w:rPr>
          <w:i/>
          <w:sz w:val="24"/>
          <w:szCs w:val="24"/>
          <w:u w:val="single"/>
        </w:rPr>
        <w:t xml:space="preserve"> </w:t>
      </w:r>
      <w:proofErr w:type="spellStart"/>
      <w:r w:rsidRPr="00275ED1">
        <w:rPr>
          <w:i/>
          <w:sz w:val="24"/>
          <w:szCs w:val="24"/>
          <w:u w:val="single"/>
        </w:rPr>
        <w:t>физических</w:t>
      </w:r>
      <w:proofErr w:type="spellEnd"/>
      <w:r w:rsidRPr="00275ED1">
        <w:rPr>
          <w:i/>
          <w:sz w:val="24"/>
          <w:szCs w:val="24"/>
          <w:u w:val="single"/>
        </w:rPr>
        <w:t xml:space="preserve"> </w:t>
      </w:r>
      <w:proofErr w:type="spellStart"/>
      <w:r w:rsidRPr="00275ED1">
        <w:rPr>
          <w:i/>
          <w:sz w:val="24"/>
          <w:szCs w:val="24"/>
          <w:u w:val="single"/>
        </w:rPr>
        <w:t>лиц</w:t>
      </w:r>
      <w:proofErr w:type="spellEnd"/>
      <w:r w:rsidR="00173CE3" w:rsidRPr="00275ED1">
        <w:rPr>
          <w:i/>
          <w:sz w:val="24"/>
          <w:szCs w:val="24"/>
          <w:u w:val="single"/>
        </w:rPr>
        <w:t>.</w:t>
      </w:r>
    </w:p>
    <w:p w:rsidR="001C42AC" w:rsidRPr="00275ED1" w:rsidRDefault="001C42AC" w:rsidP="00173CE3">
      <w:pPr>
        <w:pStyle w:val="ab"/>
        <w:ind w:left="525"/>
        <w:rPr>
          <w:sz w:val="24"/>
          <w:szCs w:val="24"/>
          <w:lang w:val="ru-RU"/>
        </w:rPr>
      </w:pPr>
      <w:r w:rsidRPr="00275ED1">
        <w:rPr>
          <w:sz w:val="24"/>
          <w:szCs w:val="24"/>
          <w:lang w:val="ru-RU"/>
        </w:rPr>
        <w:t xml:space="preserve"> Ответственность физических лиц за коррупционные правонарушения установлена статьей 13 Федерального закона «О противодействии коррупции».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 Согласно статье 192 ТК РФ к дисциплинарным взысканиям, в частности, относится увольнение работника по основаниям, предусмотренным пунктами 5, 6, 9 или 10 части первой статьи 81, пунктом 1 статьи 336, а также пунктами 7 или 7.1 части первой статьи 81 ТК РФ в случаях, когда виновные действия, дающие основания для утраты доверия, совершены работником по месту работы и в связи с исполнением им трудовых обязанностей.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b/>
          <w:sz w:val="24"/>
          <w:szCs w:val="24"/>
        </w:rPr>
        <w:t>V. Основные принципы противодействия коррупции в учреждении</w:t>
      </w:r>
      <w:r w:rsidR="00173CE3" w:rsidRPr="00275ED1">
        <w:rPr>
          <w:rFonts w:ascii="Times New Roman" w:hAnsi="Times New Roman" w:cs="Times New Roman"/>
          <w:b/>
          <w:sz w:val="24"/>
          <w:szCs w:val="24"/>
        </w:rPr>
        <w:t>.</w:t>
      </w:r>
      <w:r w:rsidRPr="00275ED1">
        <w:rPr>
          <w:rFonts w:ascii="Times New Roman" w:hAnsi="Times New Roman" w:cs="Times New Roman"/>
          <w:sz w:val="24"/>
          <w:szCs w:val="24"/>
        </w:rPr>
        <w:t xml:space="preserve"> Антикоррупционная политика Учреждения основана на следующих ключевых принципах: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1. Принцип соответствия антикоррупционной политики действующему законодательству и общепринятым нормам. Настоящая антикоррупционная политика соответствует Конституции Российской Федерации, федеральным конституционным законам, общепризнанным принципам и нормам международного права и международным договорам Российской Федерации, федеральным законам, нормативным правовым актам Президента Российской Федерации, а также нормативным правовым актам Правительства Российской Федерации, нормативным правовым актам иных федеральных органов государственной власти, законодательству Российской Федерации и нормативным правовым актам </w:t>
      </w:r>
      <w:r w:rsidR="00173CE3" w:rsidRPr="00275ED1">
        <w:rPr>
          <w:rFonts w:ascii="Times New Roman" w:hAnsi="Times New Roman" w:cs="Times New Roman"/>
          <w:sz w:val="24"/>
          <w:szCs w:val="24"/>
        </w:rPr>
        <w:t>Ивановской области</w:t>
      </w:r>
      <w:r w:rsidRPr="00275ED1">
        <w:rPr>
          <w:rFonts w:ascii="Times New Roman" w:hAnsi="Times New Roman" w:cs="Times New Roman"/>
          <w:sz w:val="24"/>
          <w:szCs w:val="24"/>
        </w:rPr>
        <w:t xml:space="preserve">, нормативными правовыми актами </w:t>
      </w:r>
      <w:r w:rsidR="00173CE3" w:rsidRPr="00275ED1">
        <w:rPr>
          <w:rFonts w:ascii="Times New Roman" w:hAnsi="Times New Roman" w:cs="Times New Roman"/>
          <w:sz w:val="24"/>
          <w:szCs w:val="24"/>
        </w:rPr>
        <w:t xml:space="preserve">Вичугского </w:t>
      </w:r>
      <w:r w:rsidRPr="00275ED1">
        <w:rPr>
          <w:rFonts w:ascii="Times New Roman" w:hAnsi="Times New Roman" w:cs="Times New Roman"/>
          <w:sz w:val="24"/>
          <w:szCs w:val="24"/>
        </w:rPr>
        <w:lastRenderedPageBreak/>
        <w:t>муниципального района</w:t>
      </w:r>
      <w:r w:rsidR="00173CE3" w:rsidRPr="00275ED1">
        <w:rPr>
          <w:rFonts w:ascii="Times New Roman" w:hAnsi="Times New Roman" w:cs="Times New Roman"/>
          <w:sz w:val="24"/>
          <w:szCs w:val="24"/>
        </w:rPr>
        <w:t xml:space="preserve">, и </w:t>
      </w:r>
      <w:r w:rsidRPr="00275ED1">
        <w:rPr>
          <w:rFonts w:ascii="Times New Roman" w:hAnsi="Times New Roman" w:cs="Times New Roman"/>
          <w:sz w:val="24"/>
          <w:szCs w:val="24"/>
        </w:rPr>
        <w:t xml:space="preserve">иным нормативным правовым актам, применимым к Учреждению.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2. Принцип личного примера руководства. 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 в Учреждении.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3. Принцип вовлеченности работников. В Учреждении регулярно информируют работников о положениях антикоррупционного законодательства и активно их привлекают к участию в формировании и реализации антикоррупционных стандартов и процедур.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4. Принцип соразмерности антикоррупционных процедур риску коррупции. В Учреждении разрабатываются и выполняются мероприятия, позволяющие снизить вероятность вовлечения Учреждения, ее руководства и работников в коррупционную деятельность, осуществляется с учетом существующих в деятельности данной организации коррупционных рисков.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5. Принцип эффективности антикоррупционных процедур. В Учреждении применяют такие антикоррупционные мероприятия, которые имеют низкую стоимость, обеспечивают простоту реализации и приносят результат.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6. Принцип ответственности и неотвратимости наказания. Неотвратимость наказания для работников Учреждения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за реализацию антикоррупционной политики Учреждения.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7. Принцип постоянного контроля и регулярного мониторинга. В Учреждении регулярно осуществляется мониторинг эффективности внедренных антикоррупционных процедур, а также контроля над их исполнением.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ED1">
        <w:rPr>
          <w:rFonts w:ascii="Times New Roman" w:hAnsi="Times New Roman" w:cs="Times New Roman"/>
          <w:b/>
          <w:sz w:val="24"/>
          <w:szCs w:val="24"/>
        </w:rPr>
        <w:t xml:space="preserve">VI. Область применения антикоррупционной политики и круг лиц, попадающих под ее действие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1. Основным кругом лиц, попадающих под действие антикоррупционной политики, являются работники Учреждения, находящиеся с ней в трудовых отношениях, вне зависимости от занимаемой должности и выполняемых функций. Антикоррупционная политика распространяется и на лиц, выполняющих для Учреждения работы или предоставляющие услуги на основе гражданско-правовых договоров.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2. Обязанности работников организации в связи с предупреждением и противодействием коррупции: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2.1. Воздерживаться: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а) от совершения и (или) участия в совершении коррупционных правонарушений в интересах или от имени учреждения;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б)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2.2. Незамедлительно информировать непосредственного руководителя и (или) лицо, ответственное за реализацию антикоррупционной политики, в случае их отсутствия директора учреждения: а) о случаях склонения работника к совершению коррупционных правонарушений; б)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2.3. Сообщать директору Учреждения о возможности возникновения либо возникшем у работника конфликте интересов. Исходя их положений статьи 57 ТК РФ по соглашению сторон в трудовой договор, заключаемый с работником при приёме его на работу в Учреждении, могут включаться права и обязанности работника и работодателя, установленные данным локальным нормативным актом. С каждым работником Учреждения при приеме на работу производится ознакомление с вопросами соблюдении </w:t>
      </w:r>
      <w:r w:rsidRPr="00275ED1">
        <w:rPr>
          <w:rFonts w:ascii="Times New Roman" w:hAnsi="Times New Roman" w:cs="Times New Roman"/>
          <w:sz w:val="24"/>
          <w:szCs w:val="24"/>
        </w:rPr>
        <w:lastRenderedPageBreak/>
        <w:t xml:space="preserve">принципов и требований антикоррупционной политики Учреждения и норм антикоррупционного законодательства Российской Федерации.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ED1">
        <w:rPr>
          <w:rFonts w:ascii="Times New Roman" w:hAnsi="Times New Roman" w:cs="Times New Roman"/>
          <w:b/>
          <w:sz w:val="24"/>
          <w:szCs w:val="24"/>
        </w:rPr>
        <w:t xml:space="preserve">VII. Ответственные за реализацию антикоррупционной политики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1. Ответственным за реализацию антикоррупционной политики учреждения, которой обязан обеспечить выполнение требований действующего законодательства о противодействии коррупции и локальных нормативных актов учреждения, направленных на реализацию мер по предупреждению коррупции в учреждении является директор учреждения.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2. Директор Учреждения назначает ответственного за организацию работы по предупреждению коррупционных правонарушений в Учреждении, который: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а) организует работы по профилактике и противодействию коррупции в Учреждении с соответствие с антикоррупционной политикой Учреждения;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б) организует разработку проектов локальных нормативных актов, направленных на реализацию перечня антикоррупционных мероприятий, определенных антикоррупционной политикой Учреждения, и предоставляет их на утверждение директору Учреждения.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ED1">
        <w:rPr>
          <w:rFonts w:ascii="Times New Roman" w:hAnsi="Times New Roman" w:cs="Times New Roman"/>
          <w:b/>
          <w:sz w:val="24"/>
          <w:szCs w:val="24"/>
        </w:rPr>
        <w:t xml:space="preserve">VIII. Установление перечня реализуемых учреждением антикоррупционных мероприятий, стандартов и порядок их выполнения (применения) </w:t>
      </w:r>
    </w:p>
    <w:p w:rsidR="001C42AC" w:rsidRPr="00275ED1" w:rsidRDefault="001C42AC" w:rsidP="00173C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В целях предупреждения и противодействия коррупции Учреждение планирует реализовать следующий перечень антикоррупционных мероприятий: </w:t>
      </w:r>
    </w:p>
    <w:tbl>
      <w:tblPr>
        <w:tblStyle w:val="a7"/>
        <w:tblW w:w="0" w:type="auto"/>
        <w:tblLook w:val="04A0"/>
      </w:tblPr>
      <w:tblGrid>
        <w:gridCol w:w="2518"/>
        <w:gridCol w:w="6662"/>
      </w:tblGrid>
      <w:tr w:rsidR="001C42AC" w:rsidRPr="00275ED1" w:rsidTr="002521DE">
        <w:tc>
          <w:tcPr>
            <w:tcW w:w="2518" w:type="dxa"/>
          </w:tcPr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</w:tr>
      <w:tr w:rsidR="001C42AC" w:rsidRPr="00275ED1" w:rsidTr="002521DE">
        <w:tc>
          <w:tcPr>
            <w:tcW w:w="2518" w:type="dxa"/>
          </w:tcPr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>Нормативное обеспечение, закрепление стандартов поведения</w:t>
            </w:r>
          </w:p>
        </w:tc>
        <w:tc>
          <w:tcPr>
            <w:tcW w:w="6662" w:type="dxa"/>
          </w:tcPr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кодекса этики и служебного поведения работников Разработка и внедрение положения о конфликте интересов</w:t>
            </w:r>
          </w:p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принятие правил, регламентирующих вопросы обмена деловыми подарками и знаками делового гостеприимства </w:t>
            </w:r>
          </w:p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>Внедрение положения о противодействии коррупции</w:t>
            </w:r>
          </w:p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антикоррупционных положений в трудовые договора (или должностные инструкции) работников </w:t>
            </w:r>
          </w:p>
        </w:tc>
      </w:tr>
      <w:tr w:rsidR="001C42AC" w:rsidRPr="00275ED1" w:rsidTr="002521DE">
        <w:tc>
          <w:tcPr>
            <w:tcW w:w="2518" w:type="dxa"/>
          </w:tcPr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>Разработка и введение специальных антикоррупционных процедур</w:t>
            </w:r>
          </w:p>
        </w:tc>
        <w:tc>
          <w:tcPr>
            <w:tcW w:w="6662" w:type="dxa"/>
          </w:tcPr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процедуры информирования работниками работодателя о случаях склонения их к совершению коррупционных нарушений и порядка рассмотрения таких процедур сообщений, включая создание доступных каналов передачи обозначенной информации </w:t>
            </w:r>
          </w:p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</w:t>
            </w:r>
          </w:p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 </w:t>
            </w:r>
          </w:p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>Проведение периодической оценки коррупционных рисков в целях выявления сфер деятельности учреждения, наиболее подверженных таким рискам, и разработки соответствующих антикоррупционных мер</w:t>
            </w:r>
          </w:p>
        </w:tc>
      </w:tr>
      <w:tr w:rsidR="001C42AC" w:rsidRPr="00275ED1" w:rsidTr="002521DE">
        <w:tc>
          <w:tcPr>
            <w:tcW w:w="2518" w:type="dxa"/>
          </w:tcPr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>Обучение и информирование работников</w:t>
            </w:r>
          </w:p>
        </w:tc>
        <w:tc>
          <w:tcPr>
            <w:tcW w:w="6662" w:type="dxa"/>
          </w:tcPr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работников под роспись с нормативными документами, регламентирующими вопросы предупреждения и противодействия коррупции в Учреждении </w:t>
            </w:r>
          </w:p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обучающих мероприятий по вопросам профилактики и противодействия коррупции </w:t>
            </w:r>
          </w:p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</w:tr>
      <w:tr w:rsidR="001C42AC" w:rsidRPr="00275ED1" w:rsidTr="002521DE">
        <w:tc>
          <w:tcPr>
            <w:tcW w:w="2518" w:type="dxa"/>
          </w:tcPr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соответствия системы внутреннего контроля учреждения требованиям антикоррупционной политики учреждения</w:t>
            </w:r>
          </w:p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регулярного контроля соблюдения внутренних процедур Осуществление регулярного контроля данных бухгалтерского учета, наличия и достоверности первичных документов бухгалтерского учета 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 </w:t>
            </w:r>
          </w:p>
        </w:tc>
      </w:tr>
      <w:tr w:rsidR="001C42AC" w:rsidRPr="00275ED1" w:rsidTr="002521DE">
        <w:tc>
          <w:tcPr>
            <w:tcW w:w="2518" w:type="dxa"/>
          </w:tcPr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 xml:space="preserve">Оценка результатов проводимой антикоррупционной работы </w:t>
            </w:r>
          </w:p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1C42AC" w:rsidRPr="00275ED1" w:rsidRDefault="001C42AC" w:rsidP="00173C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ED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оценки результатов работы по противодействию коррупции Подготовка и распространение отчетных материалов о проводимой работе и достигнутых результатах в сфере противодействия коррупции </w:t>
            </w:r>
          </w:p>
        </w:tc>
      </w:tr>
    </w:tbl>
    <w:p w:rsidR="001C42AC" w:rsidRPr="00275ED1" w:rsidRDefault="001C42AC" w:rsidP="001C42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42AC" w:rsidRPr="00275ED1" w:rsidRDefault="001C42AC" w:rsidP="005C0EC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ED1">
        <w:rPr>
          <w:rFonts w:ascii="Times New Roman" w:hAnsi="Times New Roman" w:cs="Times New Roman"/>
          <w:b/>
          <w:sz w:val="24"/>
          <w:szCs w:val="24"/>
        </w:rPr>
        <w:t>IX. Ответственность работников за несоблюдение требований антикоррупционной политики</w:t>
      </w:r>
    </w:p>
    <w:p w:rsidR="001C42AC" w:rsidRPr="00275ED1" w:rsidRDefault="001C42AC" w:rsidP="005C0E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 1. В Учреждении требуется соблюдения работниками антикоррупционной политики, при соблюдении процедур информирования работников о ключевых принципах, требованиях и санкциях за нарушения. Каждый работник, при заключении трудового договора должен быть ознакомлен с антикоррупционной политикой Учреждения и локальными нормативными актами, касающимися предупреждения и противодействия коррупции, изданными в Учреждении.</w:t>
      </w:r>
    </w:p>
    <w:p w:rsidR="001C42AC" w:rsidRPr="00275ED1" w:rsidRDefault="001C42AC" w:rsidP="005C0E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 2. Работники Учреждения, независимо от занимаемой должности, несут ответственность, предусмотренную действующим законодательством Российской Федерации, за соблюдение принципов и требований настоящей антикоррупционной политики, а также за действие (бездействие) подчиненных им лиц, нарушающих эти принципы и требования. </w:t>
      </w:r>
    </w:p>
    <w:p w:rsidR="001C42AC" w:rsidRPr="00275ED1" w:rsidRDefault="001C42AC" w:rsidP="005C0E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3. К мерам ответственности за коррупционные проявления в Учреждении относятся: меры уголовной, административной и дисциплинарной ответственности в соответствии законодательством Российской Федерации. </w:t>
      </w:r>
    </w:p>
    <w:p w:rsidR="001C42AC" w:rsidRPr="00275ED1" w:rsidRDefault="001C42AC" w:rsidP="005C0EC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ED1">
        <w:rPr>
          <w:rFonts w:ascii="Times New Roman" w:hAnsi="Times New Roman" w:cs="Times New Roman"/>
          <w:b/>
          <w:sz w:val="24"/>
          <w:szCs w:val="24"/>
        </w:rPr>
        <w:t xml:space="preserve">X. Порядок пересмотра и внесения изменений в положение об антикоррупционной политике </w:t>
      </w:r>
    </w:p>
    <w:p w:rsidR="001C42AC" w:rsidRPr="00275ED1" w:rsidRDefault="001C42AC" w:rsidP="005C0E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>1. При изменении законодательства Российской Федерации, либо выявлении недостаточно эффективных положений антикоррупционной политикой Учреждения она может быть пересмотрена и в неё могут быть внесены изменения и дополнения.</w:t>
      </w:r>
    </w:p>
    <w:p w:rsidR="001C42AC" w:rsidRPr="00275ED1" w:rsidRDefault="001C42AC" w:rsidP="005C0E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ED1">
        <w:rPr>
          <w:rFonts w:ascii="Times New Roman" w:hAnsi="Times New Roman" w:cs="Times New Roman"/>
          <w:sz w:val="24"/>
          <w:szCs w:val="24"/>
        </w:rPr>
        <w:t xml:space="preserve"> 2. Работа по актуализации антикоррупционной политики Учреждения осуществляется по поручению директора Учреждения ответственным должностным лицом за организацию профилактики и противодействия коррупции в Учреждении.</w:t>
      </w:r>
    </w:p>
    <w:p w:rsidR="0078095A" w:rsidRPr="00275ED1" w:rsidRDefault="0078095A" w:rsidP="0078095A">
      <w:pPr>
        <w:pStyle w:val="1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519FC" w:rsidRPr="0073288C" w:rsidRDefault="00B519FC" w:rsidP="00B519FC">
      <w:pPr>
        <w:pStyle w:val="10"/>
        <w:jc w:val="right"/>
        <w:rPr>
          <w:rFonts w:ascii="Times New Roman" w:eastAsia="Times New Roman" w:hAnsi="Times New Roman" w:cs="Times New Roman"/>
          <w:b/>
        </w:rPr>
      </w:pPr>
    </w:p>
    <w:sectPr w:rsidR="00B519FC" w:rsidRPr="0073288C" w:rsidSect="00275ED1">
      <w:pgSz w:w="11909" w:h="16834"/>
      <w:pgMar w:top="1134" w:right="850" w:bottom="1134" w:left="1701" w:header="0" w:footer="72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38F5"/>
    <w:multiLevelType w:val="multilevel"/>
    <w:tmpl w:val="960C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E548CB"/>
    <w:multiLevelType w:val="multilevel"/>
    <w:tmpl w:val="B9AC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34477F0"/>
    <w:multiLevelType w:val="hybridMultilevel"/>
    <w:tmpl w:val="026C685C"/>
    <w:lvl w:ilvl="0" w:tplc="196CBEC8">
      <w:start w:val="1"/>
      <w:numFmt w:val="decimal"/>
      <w:lvlText w:val="%1."/>
      <w:lvlJc w:val="left"/>
      <w:pPr>
        <w:ind w:left="116" w:hanging="460"/>
        <w:jc w:val="right"/>
      </w:pPr>
      <w:rPr>
        <w:rFonts w:ascii="Times New Roman" w:eastAsia="Times New Roman" w:hAnsi="Times New Roman" w:cs="Times New Roman" w:hint="default"/>
        <w:spacing w:val="-34"/>
        <w:w w:val="99"/>
        <w:sz w:val="28"/>
        <w:szCs w:val="28"/>
      </w:rPr>
    </w:lvl>
    <w:lvl w:ilvl="1" w:tplc="8BC22942">
      <w:start w:val="2"/>
      <w:numFmt w:val="upperRoman"/>
      <w:lvlText w:val="%2."/>
      <w:lvlJc w:val="left"/>
      <w:pPr>
        <w:ind w:left="116" w:hanging="38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</w:rPr>
    </w:lvl>
    <w:lvl w:ilvl="2" w:tplc="0C0C6456">
      <w:numFmt w:val="bullet"/>
      <w:lvlText w:val="•"/>
      <w:lvlJc w:val="left"/>
      <w:pPr>
        <w:ind w:left="2097" w:hanging="380"/>
      </w:pPr>
      <w:rPr>
        <w:rFonts w:hint="default"/>
      </w:rPr>
    </w:lvl>
    <w:lvl w:ilvl="3" w:tplc="D340C0D4">
      <w:numFmt w:val="bullet"/>
      <w:lvlText w:val="•"/>
      <w:lvlJc w:val="left"/>
      <w:pPr>
        <w:ind w:left="3086" w:hanging="380"/>
      </w:pPr>
      <w:rPr>
        <w:rFonts w:hint="default"/>
      </w:rPr>
    </w:lvl>
    <w:lvl w:ilvl="4" w:tplc="F5602C6E">
      <w:numFmt w:val="bullet"/>
      <w:lvlText w:val="•"/>
      <w:lvlJc w:val="left"/>
      <w:pPr>
        <w:ind w:left="4075" w:hanging="380"/>
      </w:pPr>
      <w:rPr>
        <w:rFonts w:hint="default"/>
      </w:rPr>
    </w:lvl>
    <w:lvl w:ilvl="5" w:tplc="003E9DE4">
      <w:numFmt w:val="bullet"/>
      <w:lvlText w:val="•"/>
      <w:lvlJc w:val="left"/>
      <w:pPr>
        <w:ind w:left="5064" w:hanging="380"/>
      </w:pPr>
      <w:rPr>
        <w:rFonts w:hint="default"/>
      </w:rPr>
    </w:lvl>
    <w:lvl w:ilvl="6" w:tplc="C6BA7C40">
      <w:numFmt w:val="bullet"/>
      <w:lvlText w:val="•"/>
      <w:lvlJc w:val="left"/>
      <w:pPr>
        <w:ind w:left="6052" w:hanging="380"/>
      </w:pPr>
      <w:rPr>
        <w:rFonts w:hint="default"/>
      </w:rPr>
    </w:lvl>
    <w:lvl w:ilvl="7" w:tplc="3FB4462C">
      <w:numFmt w:val="bullet"/>
      <w:lvlText w:val="•"/>
      <w:lvlJc w:val="left"/>
      <w:pPr>
        <w:ind w:left="7041" w:hanging="380"/>
      </w:pPr>
      <w:rPr>
        <w:rFonts w:hint="default"/>
      </w:rPr>
    </w:lvl>
    <w:lvl w:ilvl="8" w:tplc="70AE4D5E">
      <w:numFmt w:val="bullet"/>
      <w:lvlText w:val="•"/>
      <w:lvlJc w:val="left"/>
      <w:pPr>
        <w:ind w:left="8030" w:hanging="380"/>
      </w:pPr>
      <w:rPr>
        <w:rFonts w:hint="default"/>
      </w:rPr>
    </w:lvl>
  </w:abstractNum>
  <w:abstractNum w:abstractNumId="3">
    <w:nsid w:val="0BB956D2"/>
    <w:multiLevelType w:val="multilevel"/>
    <w:tmpl w:val="1CB6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BF32807"/>
    <w:multiLevelType w:val="hybridMultilevel"/>
    <w:tmpl w:val="55DEC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51788"/>
    <w:multiLevelType w:val="hybridMultilevel"/>
    <w:tmpl w:val="B2E80C14"/>
    <w:lvl w:ilvl="0" w:tplc="DB9A35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63276"/>
    <w:multiLevelType w:val="hybridMultilevel"/>
    <w:tmpl w:val="3F865E06"/>
    <w:lvl w:ilvl="0" w:tplc="6546ABD6">
      <w:start w:val="1"/>
      <w:numFmt w:val="decimal"/>
      <w:lvlText w:val="%1."/>
      <w:lvlJc w:val="left"/>
      <w:pPr>
        <w:ind w:left="116" w:hanging="336"/>
      </w:pPr>
      <w:rPr>
        <w:rFonts w:ascii="Times New Roman" w:eastAsia="Times New Roman" w:hAnsi="Times New Roman" w:cs="Times New Roman" w:hint="default"/>
        <w:spacing w:val="-35"/>
        <w:w w:val="99"/>
        <w:sz w:val="28"/>
        <w:szCs w:val="28"/>
      </w:rPr>
    </w:lvl>
    <w:lvl w:ilvl="1" w:tplc="DBE2254A">
      <w:numFmt w:val="bullet"/>
      <w:lvlText w:val="•"/>
      <w:lvlJc w:val="left"/>
      <w:pPr>
        <w:ind w:left="1108" w:hanging="336"/>
      </w:pPr>
      <w:rPr>
        <w:rFonts w:hint="default"/>
      </w:rPr>
    </w:lvl>
    <w:lvl w:ilvl="2" w:tplc="E83867F2">
      <w:numFmt w:val="bullet"/>
      <w:lvlText w:val="•"/>
      <w:lvlJc w:val="left"/>
      <w:pPr>
        <w:ind w:left="2097" w:hanging="336"/>
      </w:pPr>
      <w:rPr>
        <w:rFonts w:hint="default"/>
      </w:rPr>
    </w:lvl>
    <w:lvl w:ilvl="3" w:tplc="4ECE952E">
      <w:numFmt w:val="bullet"/>
      <w:lvlText w:val="•"/>
      <w:lvlJc w:val="left"/>
      <w:pPr>
        <w:ind w:left="3086" w:hanging="336"/>
      </w:pPr>
      <w:rPr>
        <w:rFonts w:hint="default"/>
      </w:rPr>
    </w:lvl>
    <w:lvl w:ilvl="4" w:tplc="85743F82">
      <w:numFmt w:val="bullet"/>
      <w:lvlText w:val="•"/>
      <w:lvlJc w:val="left"/>
      <w:pPr>
        <w:ind w:left="4075" w:hanging="336"/>
      </w:pPr>
      <w:rPr>
        <w:rFonts w:hint="default"/>
      </w:rPr>
    </w:lvl>
    <w:lvl w:ilvl="5" w:tplc="EFA40F40">
      <w:numFmt w:val="bullet"/>
      <w:lvlText w:val="•"/>
      <w:lvlJc w:val="left"/>
      <w:pPr>
        <w:ind w:left="5064" w:hanging="336"/>
      </w:pPr>
      <w:rPr>
        <w:rFonts w:hint="default"/>
      </w:rPr>
    </w:lvl>
    <w:lvl w:ilvl="6" w:tplc="48321CC2">
      <w:numFmt w:val="bullet"/>
      <w:lvlText w:val="•"/>
      <w:lvlJc w:val="left"/>
      <w:pPr>
        <w:ind w:left="6052" w:hanging="336"/>
      </w:pPr>
      <w:rPr>
        <w:rFonts w:hint="default"/>
      </w:rPr>
    </w:lvl>
    <w:lvl w:ilvl="7" w:tplc="88BCFF90">
      <w:numFmt w:val="bullet"/>
      <w:lvlText w:val="•"/>
      <w:lvlJc w:val="left"/>
      <w:pPr>
        <w:ind w:left="7041" w:hanging="336"/>
      </w:pPr>
      <w:rPr>
        <w:rFonts w:hint="default"/>
      </w:rPr>
    </w:lvl>
    <w:lvl w:ilvl="8" w:tplc="C1B61B20">
      <w:numFmt w:val="bullet"/>
      <w:lvlText w:val="•"/>
      <w:lvlJc w:val="left"/>
      <w:pPr>
        <w:ind w:left="8030" w:hanging="336"/>
      </w:pPr>
      <w:rPr>
        <w:rFonts w:hint="default"/>
      </w:rPr>
    </w:lvl>
  </w:abstractNum>
  <w:abstractNum w:abstractNumId="7">
    <w:nsid w:val="23A23DE6"/>
    <w:multiLevelType w:val="hybridMultilevel"/>
    <w:tmpl w:val="A16A0000"/>
    <w:lvl w:ilvl="0" w:tplc="410E436E">
      <w:start w:val="1"/>
      <w:numFmt w:val="decimal"/>
      <w:lvlText w:val="%1."/>
      <w:lvlJc w:val="left"/>
      <w:pPr>
        <w:ind w:left="116" w:hanging="376"/>
        <w:jc w:val="right"/>
      </w:pPr>
      <w:rPr>
        <w:rFonts w:ascii="Times New Roman" w:eastAsia="Times New Roman" w:hAnsi="Times New Roman" w:cs="Times New Roman" w:hint="default"/>
        <w:spacing w:val="-30"/>
        <w:w w:val="99"/>
        <w:sz w:val="28"/>
        <w:szCs w:val="28"/>
      </w:rPr>
    </w:lvl>
    <w:lvl w:ilvl="1" w:tplc="20723E0E">
      <w:numFmt w:val="bullet"/>
      <w:lvlText w:val="•"/>
      <w:lvlJc w:val="left"/>
      <w:pPr>
        <w:ind w:left="1108" w:hanging="376"/>
      </w:pPr>
      <w:rPr>
        <w:rFonts w:hint="default"/>
      </w:rPr>
    </w:lvl>
    <w:lvl w:ilvl="2" w:tplc="29BC6990">
      <w:numFmt w:val="bullet"/>
      <w:lvlText w:val="•"/>
      <w:lvlJc w:val="left"/>
      <w:pPr>
        <w:ind w:left="2097" w:hanging="376"/>
      </w:pPr>
      <w:rPr>
        <w:rFonts w:hint="default"/>
      </w:rPr>
    </w:lvl>
    <w:lvl w:ilvl="3" w:tplc="4590037C">
      <w:numFmt w:val="bullet"/>
      <w:lvlText w:val="•"/>
      <w:lvlJc w:val="left"/>
      <w:pPr>
        <w:ind w:left="3086" w:hanging="376"/>
      </w:pPr>
      <w:rPr>
        <w:rFonts w:hint="default"/>
      </w:rPr>
    </w:lvl>
    <w:lvl w:ilvl="4" w:tplc="280A7A00">
      <w:numFmt w:val="bullet"/>
      <w:lvlText w:val="•"/>
      <w:lvlJc w:val="left"/>
      <w:pPr>
        <w:ind w:left="4075" w:hanging="376"/>
      </w:pPr>
      <w:rPr>
        <w:rFonts w:hint="default"/>
      </w:rPr>
    </w:lvl>
    <w:lvl w:ilvl="5" w:tplc="D50A9E72">
      <w:numFmt w:val="bullet"/>
      <w:lvlText w:val="•"/>
      <w:lvlJc w:val="left"/>
      <w:pPr>
        <w:ind w:left="5064" w:hanging="376"/>
      </w:pPr>
      <w:rPr>
        <w:rFonts w:hint="default"/>
      </w:rPr>
    </w:lvl>
    <w:lvl w:ilvl="6" w:tplc="F16A3830">
      <w:numFmt w:val="bullet"/>
      <w:lvlText w:val="•"/>
      <w:lvlJc w:val="left"/>
      <w:pPr>
        <w:ind w:left="6052" w:hanging="376"/>
      </w:pPr>
      <w:rPr>
        <w:rFonts w:hint="default"/>
      </w:rPr>
    </w:lvl>
    <w:lvl w:ilvl="7" w:tplc="0E286EB8">
      <w:numFmt w:val="bullet"/>
      <w:lvlText w:val="•"/>
      <w:lvlJc w:val="left"/>
      <w:pPr>
        <w:ind w:left="7041" w:hanging="376"/>
      </w:pPr>
      <w:rPr>
        <w:rFonts w:hint="default"/>
      </w:rPr>
    </w:lvl>
    <w:lvl w:ilvl="8" w:tplc="274AB2EA">
      <w:numFmt w:val="bullet"/>
      <w:lvlText w:val="•"/>
      <w:lvlJc w:val="left"/>
      <w:pPr>
        <w:ind w:left="8030" w:hanging="376"/>
      </w:pPr>
      <w:rPr>
        <w:rFonts w:hint="default"/>
      </w:rPr>
    </w:lvl>
  </w:abstractNum>
  <w:abstractNum w:abstractNumId="8">
    <w:nsid w:val="26135926"/>
    <w:multiLevelType w:val="multilevel"/>
    <w:tmpl w:val="7C0C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E687663"/>
    <w:multiLevelType w:val="hybridMultilevel"/>
    <w:tmpl w:val="E9F04914"/>
    <w:lvl w:ilvl="0" w:tplc="5A12CC8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497063"/>
    <w:multiLevelType w:val="multilevel"/>
    <w:tmpl w:val="B3BC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7BD6B7A"/>
    <w:multiLevelType w:val="hybridMultilevel"/>
    <w:tmpl w:val="240A1F30"/>
    <w:lvl w:ilvl="0" w:tplc="9BD8456E">
      <w:start w:val="1"/>
      <w:numFmt w:val="decimal"/>
      <w:lvlText w:val="%1."/>
      <w:lvlJc w:val="left"/>
      <w:pPr>
        <w:ind w:left="52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5F6B6455"/>
    <w:multiLevelType w:val="multilevel"/>
    <w:tmpl w:val="C5B4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28B2788"/>
    <w:multiLevelType w:val="hybridMultilevel"/>
    <w:tmpl w:val="C6706646"/>
    <w:lvl w:ilvl="0" w:tplc="F0823DAE">
      <w:start w:val="1"/>
      <w:numFmt w:val="decimal"/>
      <w:lvlText w:val="%1."/>
      <w:lvlJc w:val="left"/>
      <w:pPr>
        <w:ind w:left="664" w:hanging="476"/>
        <w:jc w:val="right"/>
      </w:pPr>
      <w:rPr>
        <w:rFonts w:ascii="Times New Roman" w:eastAsia="Times New Roman" w:hAnsi="Times New Roman" w:cs="Times New Roman" w:hint="default"/>
        <w:spacing w:val="-31"/>
        <w:w w:val="99"/>
        <w:sz w:val="28"/>
        <w:szCs w:val="28"/>
      </w:rPr>
    </w:lvl>
    <w:lvl w:ilvl="1" w:tplc="C8A62290">
      <w:numFmt w:val="bullet"/>
      <w:lvlText w:val="•"/>
      <w:lvlJc w:val="left"/>
      <w:pPr>
        <w:ind w:left="1656" w:hanging="476"/>
      </w:pPr>
      <w:rPr>
        <w:rFonts w:hint="default"/>
      </w:rPr>
    </w:lvl>
    <w:lvl w:ilvl="2" w:tplc="685876EE">
      <w:numFmt w:val="bullet"/>
      <w:lvlText w:val="•"/>
      <w:lvlJc w:val="left"/>
      <w:pPr>
        <w:ind w:left="2645" w:hanging="476"/>
      </w:pPr>
      <w:rPr>
        <w:rFonts w:hint="default"/>
      </w:rPr>
    </w:lvl>
    <w:lvl w:ilvl="3" w:tplc="F3D60DF8">
      <w:numFmt w:val="bullet"/>
      <w:lvlText w:val="•"/>
      <w:lvlJc w:val="left"/>
      <w:pPr>
        <w:ind w:left="3634" w:hanging="476"/>
      </w:pPr>
      <w:rPr>
        <w:rFonts w:hint="default"/>
      </w:rPr>
    </w:lvl>
    <w:lvl w:ilvl="4" w:tplc="27DA33A6">
      <w:numFmt w:val="bullet"/>
      <w:lvlText w:val="•"/>
      <w:lvlJc w:val="left"/>
      <w:pPr>
        <w:ind w:left="4623" w:hanging="476"/>
      </w:pPr>
      <w:rPr>
        <w:rFonts w:hint="default"/>
      </w:rPr>
    </w:lvl>
    <w:lvl w:ilvl="5" w:tplc="B160553A">
      <w:numFmt w:val="bullet"/>
      <w:lvlText w:val="•"/>
      <w:lvlJc w:val="left"/>
      <w:pPr>
        <w:ind w:left="5612" w:hanging="476"/>
      </w:pPr>
      <w:rPr>
        <w:rFonts w:hint="default"/>
      </w:rPr>
    </w:lvl>
    <w:lvl w:ilvl="6" w:tplc="FF1C5E06">
      <w:numFmt w:val="bullet"/>
      <w:lvlText w:val="•"/>
      <w:lvlJc w:val="left"/>
      <w:pPr>
        <w:ind w:left="6600" w:hanging="476"/>
      </w:pPr>
      <w:rPr>
        <w:rFonts w:hint="default"/>
      </w:rPr>
    </w:lvl>
    <w:lvl w:ilvl="7" w:tplc="6CA67C0E">
      <w:numFmt w:val="bullet"/>
      <w:lvlText w:val="•"/>
      <w:lvlJc w:val="left"/>
      <w:pPr>
        <w:ind w:left="7589" w:hanging="476"/>
      </w:pPr>
      <w:rPr>
        <w:rFonts w:hint="default"/>
      </w:rPr>
    </w:lvl>
    <w:lvl w:ilvl="8" w:tplc="AFD2B884">
      <w:numFmt w:val="bullet"/>
      <w:lvlText w:val="•"/>
      <w:lvlJc w:val="left"/>
      <w:pPr>
        <w:ind w:left="8578" w:hanging="476"/>
      </w:pPr>
      <w:rPr>
        <w:rFonts w:hint="default"/>
      </w:rPr>
    </w:lvl>
  </w:abstractNum>
  <w:abstractNum w:abstractNumId="14">
    <w:nsid w:val="72492E56"/>
    <w:multiLevelType w:val="hybridMultilevel"/>
    <w:tmpl w:val="E4702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3"/>
  </w:num>
  <w:num w:numId="5">
    <w:abstractNumId w:val="12"/>
  </w:num>
  <w:num w:numId="6">
    <w:abstractNumId w:val="10"/>
  </w:num>
  <w:num w:numId="7">
    <w:abstractNumId w:val="1"/>
  </w:num>
  <w:num w:numId="8">
    <w:abstractNumId w:val="0"/>
  </w:num>
  <w:num w:numId="9">
    <w:abstractNumId w:val="14"/>
  </w:num>
  <w:num w:numId="10">
    <w:abstractNumId w:val="4"/>
  </w:num>
  <w:num w:numId="11">
    <w:abstractNumId w:val="13"/>
  </w:num>
  <w:num w:numId="12">
    <w:abstractNumId w:val="7"/>
  </w:num>
  <w:num w:numId="13">
    <w:abstractNumId w:val="6"/>
  </w:num>
  <w:num w:numId="14">
    <w:abstractNumId w:val="2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2D03"/>
    <w:rsid w:val="00024229"/>
    <w:rsid w:val="00093002"/>
    <w:rsid w:val="000D51FA"/>
    <w:rsid w:val="000E79DA"/>
    <w:rsid w:val="00122E75"/>
    <w:rsid w:val="0017117C"/>
    <w:rsid w:val="00173CE3"/>
    <w:rsid w:val="00194E0B"/>
    <w:rsid w:val="001C42AC"/>
    <w:rsid w:val="001F2125"/>
    <w:rsid w:val="002521DE"/>
    <w:rsid w:val="002667AD"/>
    <w:rsid w:val="00266D31"/>
    <w:rsid w:val="00274CE7"/>
    <w:rsid w:val="00275ED1"/>
    <w:rsid w:val="00290793"/>
    <w:rsid w:val="002C2D03"/>
    <w:rsid w:val="00370DAE"/>
    <w:rsid w:val="00370E4F"/>
    <w:rsid w:val="003849EF"/>
    <w:rsid w:val="003877E9"/>
    <w:rsid w:val="003E7091"/>
    <w:rsid w:val="0046343F"/>
    <w:rsid w:val="00514A77"/>
    <w:rsid w:val="00595228"/>
    <w:rsid w:val="005C0EC9"/>
    <w:rsid w:val="005C5E25"/>
    <w:rsid w:val="0061344A"/>
    <w:rsid w:val="0073288C"/>
    <w:rsid w:val="0078095A"/>
    <w:rsid w:val="00822D09"/>
    <w:rsid w:val="00852A8D"/>
    <w:rsid w:val="008A0388"/>
    <w:rsid w:val="008B35BC"/>
    <w:rsid w:val="0090685D"/>
    <w:rsid w:val="00952D6C"/>
    <w:rsid w:val="00994419"/>
    <w:rsid w:val="00AA626C"/>
    <w:rsid w:val="00B519FC"/>
    <w:rsid w:val="00BF65D6"/>
    <w:rsid w:val="00C46E29"/>
    <w:rsid w:val="00C70D6C"/>
    <w:rsid w:val="00C71A58"/>
    <w:rsid w:val="00C94935"/>
    <w:rsid w:val="00D17B3D"/>
    <w:rsid w:val="00D3557A"/>
    <w:rsid w:val="00D409B7"/>
    <w:rsid w:val="00D54671"/>
    <w:rsid w:val="00D708CC"/>
    <w:rsid w:val="00DA7D7E"/>
    <w:rsid w:val="00DE0722"/>
    <w:rsid w:val="00E06FA9"/>
    <w:rsid w:val="00E52E33"/>
    <w:rsid w:val="00F60D07"/>
    <w:rsid w:val="00FA3007"/>
    <w:rsid w:val="00FC2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7AD"/>
  </w:style>
  <w:style w:type="paragraph" w:styleId="1">
    <w:name w:val="heading 1"/>
    <w:basedOn w:val="10"/>
    <w:next w:val="10"/>
    <w:rsid w:val="002C2D03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2C2D03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2C2D03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2C2D03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2C2D03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10"/>
    <w:next w:val="10"/>
    <w:rsid w:val="002C2D03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2C2D03"/>
  </w:style>
  <w:style w:type="table" w:customStyle="1" w:styleId="TableNormal">
    <w:name w:val="Table Normal"/>
    <w:rsid w:val="002C2D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2C2D03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10"/>
    <w:next w:val="10"/>
    <w:rsid w:val="002C2D03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852A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A8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52D6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7328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har">
    <w:name w:val="Char Знак"/>
    <w:basedOn w:val="a"/>
    <w:rsid w:val="00E06F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imes New Roman"/>
      <w:color w:val="auto"/>
      <w:sz w:val="20"/>
      <w:szCs w:val="20"/>
      <w:lang w:val="en-US" w:eastAsia="en-US"/>
    </w:rPr>
  </w:style>
  <w:style w:type="paragraph" w:styleId="a9">
    <w:name w:val="Body Text"/>
    <w:basedOn w:val="a"/>
    <w:link w:val="aa"/>
    <w:uiPriority w:val="1"/>
    <w:qFormat/>
    <w:rsid w:val="00E06FA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="116" w:right="109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en-US" w:eastAsia="en-US"/>
    </w:rPr>
  </w:style>
  <w:style w:type="character" w:customStyle="1" w:styleId="aa">
    <w:name w:val="Основной текст Знак"/>
    <w:basedOn w:val="a0"/>
    <w:link w:val="a9"/>
    <w:uiPriority w:val="1"/>
    <w:rsid w:val="00E06FA9"/>
    <w:rPr>
      <w:rFonts w:ascii="Times New Roman" w:eastAsia="Times New Roman" w:hAnsi="Times New Roman" w:cs="Times New Roman"/>
      <w:color w:val="auto"/>
      <w:sz w:val="28"/>
      <w:szCs w:val="28"/>
      <w:lang w:val="en-US" w:eastAsia="en-US"/>
    </w:rPr>
  </w:style>
  <w:style w:type="paragraph" w:customStyle="1" w:styleId="11">
    <w:name w:val="Заголовок 11"/>
    <w:basedOn w:val="a"/>
    <w:uiPriority w:val="1"/>
    <w:qFormat/>
    <w:rsid w:val="00E06FA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6" w:line="319" w:lineRule="exact"/>
      <w:ind w:left="836" w:right="109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en-US" w:eastAsia="en-US"/>
    </w:rPr>
  </w:style>
  <w:style w:type="paragraph" w:styleId="ab">
    <w:name w:val="List Paragraph"/>
    <w:basedOn w:val="a"/>
    <w:uiPriority w:val="1"/>
    <w:qFormat/>
    <w:rsid w:val="00E06FA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="116"/>
      <w:jc w:val="both"/>
    </w:pPr>
    <w:rPr>
      <w:rFonts w:ascii="Times New Roman" w:eastAsia="Times New Roman" w:hAnsi="Times New Roman" w:cs="Times New Roman"/>
      <w:color w:val="auto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8F0F84-A8D0-42FF-A832-4594D2916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2436</Words>
  <Characters>13888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28</cp:revision>
  <cp:lastPrinted>2022-05-24T07:14:00Z</cp:lastPrinted>
  <dcterms:created xsi:type="dcterms:W3CDTF">2019-07-08T13:29:00Z</dcterms:created>
  <dcterms:modified xsi:type="dcterms:W3CDTF">2022-05-27T07:31:00Z</dcterms:modified>
</cp:coreProperties>
</file>